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B76" w:rsidRPr="00422B4E" w:rsidRDefault="00796B76" w:rsidP="00796B76">
      <w:pPr>
        <w:spacing w:after="0" w:line="240" w:lineRule="auto"/>
        <w:rPr>
          <w:rFonts w:eastAsia="Times New Roman"/>
          <w:u w:val="single"/>
          <w:lang w:eastAsia="ru-RU"/>
        </w:rPr>
      </w:pPr>
    </w:p>
    <w:p w:rsidR="00796B76" w:rsidRDefault="00796B76" w:rsidP="00796B76">
      <w:pPr>
        <w:spacing w:after="0" w:line="240" w:lineRule="auto"/>
        <w:rPr>
          <w:rFonts w:eastAsia="Times New Roman"/>
          <w:u w:val="single"/>
          <w:lang w:eastAsia="ru-RU"/>
        </w:rPr>
      </w:pPr>
      <w:r>
        <w:rPr>
          <w:rFonts w:eastAsia="Times New Roman"/>
          <w:u w:val="single"/>
          <w:lang w:eastAsia="ru-RU"/>
        </w:rPr>
        <w:t xml:space="preserve">6) СЛАУ. Решение системы линейных алгебраических уравнений по методу </w:t>
      </w:r>
      <w:proofErr w:type="spellStart"/>
      <w:r>
        <w:rPr>
          <w:rFonts w:eastAsia="Times New Roman"/>
          <w:u w:val="single"/>
          <w:lang w:eastAsia="ru-RU"/>
        </w:rPr>
        <w:t>Крамера</w:t>
      </w:r>
      <w:proofErr w:type="spellEnd"/>
      <w:r>
        <w:rPr>
          <w:rFonts w:eastAsia="Times New Roman"/>
          <w:u w:val="single"/>
          <w:lang w:eastAsia="ru-RU"/>
        </w:rPr>
        <w:t>.</w:t>
      </w:r>
    </w:p>
    <w:p w:rsidR="00796B76" w:rsidRPr="00422B4E" w:rsidRDefault="00796B76" w:rsidP="00796B76">
      <w:pPr>
        <w:spacing w:after="0" w:line="240" w:lineRule="auto"/>
        <w:rPr>
          <w:rFonts w:eastAsia="Times New Roman"/>
          <w:u w:val="single"/>
          <w:lang w:eastAsia="ru-RU"/>
        </w:rPr>
      </w:pPr>
      <w:r w:rsidRPr="00422B4E">
        <w:rPr>
          <w:rFonts w:eastAsia="Times New Roman"/>
          <w:b/>
          <w:bCs/>
          <w:lang w:eastAsia="ru-RU"/>
        </w:rPr>
        <w:t xml:space="preserve">Система </w:t>
      </w:r>
      <w:proofErr w:type="spellStart"/>
      <w:r w:rsidRPr="00422B4E">
        <w:rPr>
          <w:rFonts w:eastAsia="Times New Roman"/>
          <w:b/>
          <w:bCs/>
          <w:i/>
          <w:iCs/>
          <w:lang w:eastAsia="ru-RU"/>
        </w:rPr>
        <w:t>m</w:t>
      </w:r>
      <w:proofErr w:type="spellEnd"/>
      <w:r w:rsidRPr="00422B4E">
        <w:rPr>
          <w:rFonts w:eastAsia="Times New Roman"/>
          <w:b/>
          <w:bCs/>
          <w:lang w:eastAsia="ru-RU"/>
        </w:rPr>
        <w:t xml:space="preserve"> </w:t>
      </w:r>
      <w:hyperlink r:id="rId4" w:tooltip="Линейное уравнение" w:history="1">
        <w:r w:rsidRPr="00422B4E">
          <w:rPr>
            <w:rFonts w:eastAsia="Times New Roman"/>
            <w:b/>
            <w:bCs/>
            <w:color w:val="0000FF"/>
            <w:u w:val="single"/>
            <w:lang w:eastAsia="ru-RU"/>
          </w:rPr>
          <w:t>линейных уравнений</w:t>
        </w:r>
      </w:hyperlink>
      <w:r w:rsidRPr="00422B4E">
        <w:rPr>
          <w:rFonts w:eastAsia="Times New Roman"/>
          <w:b/>
          <w:bCs/>
          <w:lang w:eastAsia="ru-RU"/>
        </w:rPr>
        <w:t xml:space="preserve"> с </w:t>
      </w:r>
      <w:proofErr w:type="spellStart"/>
      <w:r w:rsidRPr="00422B4E">
        <w:rPr>
          <w:rFonts w:eastAsia="Times New Roman"/>
          <w:b/>
          <w:bCs/>
          <w:i/>
          <w:iCs/>
          <w:lang w:eastAsia="ru-RU"/>
        </w:rPr>
        <w:t>n</w:t>
      </w:r>
      <w:proofErr w:type="spellEnd"/>
      <w:r w:rsidRPr="00422B4E">
        <w:rPr>
          <w:rFonts w:eastAsia="Times New Roman"/>
          <w:b/>
          <w:bCs/>
          <w:lang w:eastAsia="ru-RU"/>
        </w:rPr>
        <w:t xml:space="preserve"> неизвестными</w:t>
      </w:r>
      <w:r w:rsidRPr="00422B4E">
        <w:rPr>
          <w:rFonts w:eastAsia="Times New Roman"/>
          <w:lang w:eastAsia="ru-RU"/>
        </w:rPr>
        <w:t xml:space="preserve"> (или, </w:t>
      </w:r>
      <w:r w:rsidRPr="00422B4E">
        <w:rPr>
          <w:rFonts w:eastAsia="Times New Roman"/>
          <w:b/>
          <w:bCs/>
          <w:lang w:eastAsia="ru-RU"/>
        </w:rPr>
        <w:t>линейная система</w:t>
      </w:r>
      <w:r w:rsidRPr="00422B4E">
        <w:rPr>
          <w:rFonts w:eastAsia="Times New Roman"/>
          <w:lang w:eastAsia="ru-RU"/>
        </w:rPr>
        <w:t xml:space="preserve">) в </w:t>
      </w:r>
      <w:hyperlink r:id="rId5" w:tooltip="Линейная алгебра" w:history="1">
        <w:r w:rsidRPr="00422B4E">
          <w:rPr>
            <w:rFonts w:eastAsia="Times New Roman"/>
            <w:color w:val="0000FF"/>
            <w:u w:val="single"/>
            <w:lang w:eastAsia="ru-RU"/>
          </w:rPr>
          <w:t>линейной алгебре</w:t>
        </w:r>
      </w:hyperlink>
      <w:r w:rsidRPr="00422B4E">
        <w:rPr>
          <w:rFonts w:eastAsia="Times New Roman"/>
          <w:lang w:eastAsia="ru-RU"/>
        </w:rPr>
        <w:t xml:space="preserve"> — это система уравнений вида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01"/>
      </w:tblGrid>
      <w:tr w:rsidR="00796B76" w:rsidRPr="00422B4E" w:rsidTr="00997C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96B76" w:rsidRPr="00422B4E" w:rsidRDefault="00796B76" w:rsidP="00997CA9">
            <w:pPr>
              <w:spacing w:after="0" w:line="240" w:lineRule="auto"/>
              <w:ind w:left="72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2952750" cy="1028700"/>
                  <wp:effectExtent l="19050" t="0" r="0" b="0"/>
                  <wp:docPr id="70" name="Рисунок 70" descr="\begin{cases}&#10;    a_{11}x_1 + a_{12}x_2 + \dots + a_{1n}x_n = b_1 \\&#10;    a_{21}x_1 + a_{22}x_2 + \dots + a_{2n}x_n = b_2\\&#10;    \dots\\&#10;    a_{m1}x_1 + a_{m2}x_2 + \dots + a_{mn}x_n = b_m \\&#10;\end{cases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\begin{cases}&#10;    a_{11}x_1 + a_{12}x_2 + \dots + a_{1n}x_n = b_1 \\&#10;    a_{21}x_1 + a_{22}x_2 + \dots + a_{2n}x_n = b_2\\&#10;    \dots\\&#10;    a_{m1}x_1 + a_{m2}x_2 + \dots + a_{mn}x_n = b_m \\&#10;\end{cases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6B76" w:rsidRDefault="00796B76" w:rsidP="00796B76">
      <w:pPr>
        <w:spacing w:after="0" w:line="240" w:lineRule="auto"/>
        <w:rPr>
          <w:rFonts w:eastAsia="Times New Roman"/>
          <w:u w:val="single"/>
          <w:lang w:eastAsia="ru-RU"/>
        </w:rPr>
      </w:pPr>
    </w:p>
    <w:p w:rsidR="00796B76" w:rsidRDefault="00796B76" w:rsidP="00796B76">
      <w:pPr>
        <w:spacing w:after="0" w:line="240" w:lineRule="auto"/>
      </w:pPr>
      <w:r>
        <w:t xml:space="preserve">Здесь </w:t>
      </w:r>
      <w:r>
        <w:rPr>
          <w:i/>
          <w:iCs/>
        </w:rPr>
        <w:t>x</w:t>
      </w:r>
      <w:r>
        <w:rPr>
          <w:vertAlign w:val="subscript"/>
        </w:rPr>
        <w:t>1</w:t>
      </w:r>
      <w:r>
        <w:t xml:space="preserve">, </w:t>
      </w:r>
      <w:r>
        <w:rPr>
          <w:i/>
          <w:iCs/>
        </w:rPr>
        <w:t>x</w:t>
      </w:r>
      <w:r>
        <w:rPr>
          <w:vertAlign w:val="subscript"/>
        </w:rPr>
        <w:t>2</w:t>
      </w:r>
      <w:r>
        <w:t xml:space="preserve">, …, </w:t>
      </w:r>
      <w:proofErr w:type="spellStart"/>
      <w:r>
        <w:rPr>
          <w:i/>
          <w:iCs/>
        </w:rPr>
        <w:t>x</w:t>
      </w:r>
      <w:r>
        <w:rPr>
          <w:i/>
          <w:iCs/>
          <w:vertAlign w:val="subscript"/>
        </w:rPr>
        <w:t>n</w:t>
      </w:r>
      <w:proofErr w:type="spellEnd"/>
      <w:r>
        <w:t xml:space="preserve"> — неизвестные, которые надо определить. </w:t>
      </w:r>
      <w:r>
        <w:rPr>
          <w:i/>
          <w:iCs/>
        </w:rPr>
        <w:t>a</w:t>
      </w:r>
      <w:r>
        <w:rPr>
          <w:vertAlign w:val="subscript"/>
        </w:rPr>
        <w:t>11</w:t>
      </w:r>
      <w:r>
        <w:t xml:space="preserve">, </w:t>
      </w:r>
      <w:r>
        <w:rPr>
          <w:i/>
          <w:iCs/>
        </w:rPr>
        <w:t>a</w:t>
      </w:r>
      <w:r>
        <w:rPr>
          <w:vertAlign w:val="subscript"/>
        </w:rPr>
        <w:t>12</w:t>
      </w:r>
      <w:r>
        <w:t xml:space="preserve">, …, </w:t>
      </w:r>
      <w:proofErr w:type="spellStart"/>
      <w:r>
        <w:rPr>
          <w:i/>
          <w:iCs/>
        </w:rPr>
        <w:t>a</w:t>
      </w:r>
      <w:r>
        <w:rPr>
          <w:i/>
          <w:iCs/>
          <w:vertAlign w:val="subscript"/>
        </w:rPr>
        <w:t>mn</w:t>
      </w:r>
      <w:proofErr w:type="spellEnd"/>
      <w:r>
        <w:t xml:space="preserve"> — коэффициенты системы — и </w:t>
      </w:r>
      <w:r>
        <w:rPr>
          <w:i/>
          <w:iCs/>
        </w:rPr>
        <w:t>b</w:t>
      </w:r>
      <w:r>
        <w:rPr>
          <w:vertAlign w:val="subscript"/>
        </w:rPr>
        <w:t>1</w:t>
      </w:r>
      <w:r>
        <w:t xml:space="preserve">, </w:t>
      </w:r>
      <w:r>
        <w:rPr>
          <w:i/>
          <w:iCs/>
        </w:rPr>
        <w:t>b</w:t>
      </w:r>
      <w:r>
        <w:rPr>
          <w:vertAlign w:val="subscript"/>
        </w:rPr>
        <w:t>2</w:t>
      </w:r>
      <w:r>
        <w:t xml:space="preserve">, … </w:t>
      </w:r>
      <w:proofErr w:type="spellStart"/>
      <w:r>
        <w:rPr>
          <w:i/>
          <w:iCs/>
        </w:rPr>
        <w:t>b</w:t>
      </w:r>
      <w:r>
        <w:rPr>
          <w:i/>
          <w:iCs/>
          <w:vertAlign w:val="subscript"/>
        </w:rPr>
        <w:t>m</w:t>
      </w:r>
      <w:proofErr w:type="spellEnd"/>
      <w:r>
        <w:t xml:space="preserve"> — свободные члены — предполагаются известными</w:t>
      </w:r>
    </w:p>
    <w:p w:rsidR="00796B76" w:rsidRDefault="00796B76" w:rsidP="00796B76">
      <w:pPr>
        <w:spacing w:after="0" w:line="240" w:lineRule="auto"/>
      </w:pPr>
    </w:p>
    <w:p w:rsidR="00796B76" w:rsidRDefault="00796B76" w:rsidP="00796B76">
      <w:pPr>
        <w:pStyle w:val="a4"/>
      </w:pPr>
      <w:r>
        <w:t xml:space="preserve">Система (1) называется </w:t>
      </w:r>
      <w:hyperlink r:id="rId7" w:tooltip="Однородная система уравнений (страница отсутствует)" w:history="1">
        <w:r>
          <w:rPr>
            <w:rStyle w:val="a3"/>
            <w:i/>
            <w:iCs/>
          </w:rPr>
          <w:t>однородной</w:t>
        </w:r>
      </w:hyperlink>
      <w:r>
        <w:t>, если все её свободные члены равны нулю (</w:t>
      </w:r>
      <w:r>
        <w:rPr>
          <w:i/>
          <w:iCs/>
        </w:rPr>
        <w:t>b</w:t>
      </w:r>
      <w:r>
        <w:rPr>
          <w:vertAlign w:val="subscript"/>
        </w:rPr>
        <w:t>1</w:t>
      </w:r>
      <w:r>
        <w:t xml:space="preserve"> = </w:t>
      </w:r>
      <w:r>
        <w:rPr>
          <w:i/>
          <w:iCs/>
        </w:rPr>
        <w:t>b</w:t>
      </w:r>
      <w:r>
        <w:rPr>
          <w:vertAlign w:val="subscript"/>
        </w:rPr>
        <w:t>2</w:t>
      </w:r>
      <w:r>
        <w:t xml:space="preserve"> = … = </w:t>
      </w:r>
      <w:proofErr w:type="spellStart"/>
      <w:r>
        <w:rPr>
          <w:i/>
          <w:iCs/>
        </w:rPr>
        <w:t>b</w:t>
      </w:r>
      <w:r>
        <w:rPr>
          <w:i/>
          <w:iCs/>
          <w:vertAlign w:val="subscript"/>
        </w:rPr>
        <w:t>m</w:t>
      </w:r>
      <w:proofErr w:type="spellEnd"/>
      <w:r>
        <w:t xml:space="preserve"> = 0), иначе — </w:t>
      </w:r>
      <w:r>
        <w:rPr>
          <w:i/>
          <w:iCs/>
        </w:rPr>
        <w:t>неоднородной</w:t>
      </w:r>
      <w:r>
        <w:t>.</w:t>
      </w:r>
    </w:p>
    <w:p w:rsidR="00796B76" w:rsidRDefault="00796B76" w:rsidP="00796B76">
      <w:pPr>
        <w:pStyle w:val="a4"/>
      </w:pPr>
      <w:r>
        <w:t xml:space="preserve">Система (1) называется </w:t>
      </w:r>
      <w:hyperlink r:id="rId8" w:tooltip="Квадратная система уравнений" w:history="1">
        <w:r>
          <w:rPr>
            <w:rStyle w:val="a3"/>
            <w:i/>
            <w:iCs/>
          </w:rPr>
          <w:t>квадратной</w:t>
        </w:r>
      </w:hyperlink>
      <w:r>
        <w:t xml:space="preserve">, если число </w:t>
      </w:r>
      <w:proofErr w:type="spellStart"/>
      <w:r>
        <w:rPr>
          <w:b/>
          <w:bCs/>
        </w:rPr>
        <w:t>m</w:t>
      </w:r>
      <w:proofErr w:type="spellEnd"/>
      <w:r>
        <w:t xml:space="preserve"> уравнений равно числу </w:t>
      </w:r>
      <w:proofErr w:type="spellStart"/>
      <w:r>
        <w:rPr>
          <w:b/>
          <w:bCs/>
        </w:rPr>
        <w:t>n</w:t>
      </w:r>
      <w:proofErr w:type="spellEnd"/>
      <w:r>
        <w:t xml:space="preserve"> неизвестных.</w:t>
      </w:r>
    </w:p>
    <w:p w:rsidR="00796B76" w:rsidRDefault="00796B76" w:rsidP="00796B76">
      <w:pPr>
        <w:spacing w:after="0" w:line="240" w:lineRule="auto"/>
        <w:rPr>
          <w:rFonts w:eastAsia="Times New Roman"/>
          <w:u w:val="single"/>
          <w:lang w:eastAsia="ru-RU"/>
        </w:rPr>
      </w:pPr>
    </w:p>
    <w:p w:rsidR="00796B76" w:rsidRDefault="00796B76" w:rsidP="00796B76">
      <w:pPr>
        <w:spacing w:after="0" w:line="240" w:lineRule="auto"/>
      </w:pPr>
      <w:r>
        <w:rPr>
          <w:b/>
          <w:bCs/>
        </w:rPr>
        <w:t xml:space="preserve">Метод </w:t>
      </w:r>
      <w:proofErr w:type="spellStart"/>
      <w:r>
        <w:rPr>
          <w:b/>
          <w:bCs/>
        </w:rPr>
        <w:t>Крамера</w:t>
      </w:r>
      <w:proofErr w:type="spellEnd"/>
      <w:r>
        <w:rPr>
          <w:b/>
          <w:bCs/>
        </w:rPr>
        <w:t xml:space="preserve"> (правило </w:t>
      </w:r>
      <w:proofErr w:type="spellStart"/>
      <w:r>
        <w:rPr>
          <w:b/>
          <w:bCs/>
        </w:rPr>
        <w:t>Крамера</w:t>
      </w:r>
      <w:proofErr w:type="spellEnd"/>
      <w:r>
        <w:rPr>
          <w:b/>
          <w:bCs/>
        </w:rPr>
        <w:t>)</w:t>
      </w:r>
      <w:r>
        <w:t xml:space="preserve"> — способ решения квадратных </w:t>
      </w:r>
      <w:hyperlink r:id="rId9" w:tooltip="Система линейных алгебраических уравнений" w:history="1">
        <w:r>
          <w:rPr>
            <w:rStyle w:val="a3"/>
          </w:rPr>
          <w:t>систем линейных алгебраических уравнений</w:t>
        </w:r>
      </w:hyperlink>
      <w:r>
        <w:t xml:space="preserve"> с ненулевым </w:t>
      </w:r>
      <w:hyperlink r:id="rId10" w:tooltip="Определитель" w:history="1">
        <w:r>
          <w:rPr>
            <w:rStyle w:val="a3"/>
          </w:rPr>
          <w:t>определителем</w:t>
        </w:r>
      </w:hyperlink>
      <w:r>
        <w:t xml:space="preserve"> </w:t>
      </w:r>
      <w:hyperlink r:id="rId11" w:tooltip="Основная матрица (страница отсутствует)" w:history="1">
        <w:r>
          <w:rPr>
            <w:rStyle w:val="a3"/>
          </w:rPr>
          <w:t>основной матрицы</w:t>
        </w:r>
      </w:hyperlink>
      <w:r>
        <w:t xml:space="preserve"> (причём для таких уравнений решение существует и единственно).</w:t>
      </w:r>
    </w:p>
    <w:p w:rsidR="00796B76" w:rsidRDefault="00796B76" w:rsidP="00796B76">
      <w:pPr>
        <w:spacing w:after="0" w:line="240" w:lineRule="auto"/>
      </w:pPr>
    </w:p>
    <w:p w:rsidR="00796B76" w:rsidRPr="00422B4E" w:rsidRDefault="00796B76" w:rsidP="00796B76">
      <w:pPr>
        <w:pStyle w:val="2"/>
        <w:rPr>
          <w:i/>
          <w:u w:val="single"/>
        </w:rPr>
      </w:pPr>
      <w:r w:rsidRPr="00422B4E">
        <w:rPr>
          <w:rStyle w:val="mw-headline"/>
          <w:i/>
          <w:u w:val="single"/>
        </w:rPr>
        <w:t>Описание метода</w:t>
      </w:r>
    </w:p>
    <w:p w:rsidR="00796B76" w:rsidRDefault="00796B76" w:rsidP="00796B76">
      <w:pPr>
        <w:pStyle w:val="a4"/>
      </w:pPr>
      <w:r>
        <w:t xml:space="preserve">Для системы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линейных уравнений с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неизвестными (над произвольным полем)</w:t>
      </w:r>
    </w:p>
    <w:p w:rsidR="00796B76" w:rsidRDefault="00796B76" w:rsidP="00796B76">
      <w:pPr>
        <w:ind w:left="720"/>
      </w:pPr>
      <w:r>
        <w:rPr>
          <w:noProof/>
          <w:lang w:eastAsia="ru-RU"/>
        </w:rPr>
        <w:drawing>
          <wp:inline distT="0" distB="0" distL="0" distR="0">
            <wp:extent cx="2790825" cy="1028700"/>
            <wp:effectExtent l="19050" t="0" r="9525" b="0"/>
            <wp:docPr id="72" name="Рисунок 72" descr="\begin{cases}&#10;a_{11}x_1 + a_{12}x_2 + \ldots + a_{1n}x_n = b_1\\&#10;a_{21}x_1 + a_{22}x_2 + \ldots + a_{2n}x_n = b_2\\&#10;\cdots \cdots \cdots \cdots \cdots \cdots \cdots \cdots \cdots\cdots\\ &#10;a_{n1}x_1 + a_{n2}x_2 + \ldots + a_{nn}x_n = b_n\\&#10;\end{cases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\begin{cases}&#10;a_{11}x_1 + a_{12}x_2 + \ldots + a_{1n}x_n = b_1\\&#10;a_{21}x_1 + a_{22}x_2 + \ldots + a_{2n}x_n = b_2\\&#10;\cdots \cdots \cdots \cdots \cdots \cdots \cdots \cdots \cdots\cdots\\ &#10;a_{n1}x_1 + a_{n2}x_2 + \ldots + a_{nn}x_n = b_n\\&#10;\end{cases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B76" w:rsidRDefault="00796B76" w:rsidP="00796B76">
      <w:pPr>
        <w:pStyle w:val="a4"/>
      </w:pPr>
      <w:r>
        <w:t xml:space="preserve">с определителем матрицы системы </w:t>
      </w:r>
      <w:r>
        <w:rPr>
          <w:rStyle w:val="texhtml"/>
        </w:rPr>
        <w:t>Δ</w:t>
      </w:r>
      <w:r>
        <w:t>, отличным от нуля, решение записывается в виде</w:t>
      </w:r>
    </w:p>
    <w:p w:rsidR="00796B76" w:rsidRDefault="00796B76" w:rsidP="00796B76">
      <w:pPr>
        <w:ind w:left="720"/>
      </w:pPr>
      <w:r>
        <w:rPr>
          <w:noProof/>
          <w:lang w:eastAsia="ru-RU"/>
        </w:rPr>
        <w:drawing>
          <wp:inline distT="0" distB="0" distL="0" distR="0">
            <wp:extent cx="4600575" cy="1152525"/>
            <wp:effectExtent l="19050" t="0" r="9525" b="0"/>
            <wp:docPr id="73" name="Рисунок 73" descr="x_i=\frac{1}{\Delta}\begin{vmatrix} &#10;a_{11} &amp; \ldots &amp; a_{1,i-1} &amp; b_1  &amp; a_{1,i+1} &amp; \ldots &amp; a_{1n} \\&#10;a_{21} &amp; \ldots &amp; a_{2,i-1} &amp; b_2 &amp; a_{2,i+1} &amp; \ldots &amp; a_{2n} \\&#10;\ldots &amp; \ldots &amp; \ldots &amp; \ldots &amp; \ldots &amp; \ldots &amp; \ldots \\&#10;a_{n-1,1} &amp; \ldots &amp; a_{n-1,i-1} &amp; b_{n-1} &amp; a_{n-1,i+1} &amp; \ldots &amp; a_{n-1,n} \\&#10;a_{n1} &amp; \ldots &amp; a_{n,i-1} &amp; b_n &amp; a_{n,i+1} &amp; \ldots &amp; a_{nn} \\&#10;\end{v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x_i=\frac{1}{\Delta}\begin{vmatrix} &#10;a_{11} &amp; \ldots &amp; a_{1,i-1} &amp; b_1  &amp; a_{1,i+1} &amp; \ldots &amp; a_{1n} \\&#10;a_{21} &amp; \ldots &amp; a_{2,i-1} &amp; b_2 &amp; a_{2,i+1} &amp; \ldots &amp; a_{2n} \\&#10;\ldots &amp; \ldots &amp; \ldots &amp; \ldots &amp; \ldots &amp; \ldots &amp; \ldots \\&#10;a_{n-1,1} &amp; \ldots &amp; a_{n-1,i-1} &amp; b_{n-1} &amp; a_{n-1,i+1} &amp; \ldots &amp; a_{n-1,n} \\&#10;a_{n1} &amp; \ldots &amp; a_{n,i-1} &amp; b_n &amp; a_{n,i+1} &amp; \ldots &amp; a_{nn} \\&#10;\end{vmatrix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B76" w:rsidRDefault="00796B76" w:rsidP="00796B76">
      <w:pPr>
        <w:pStyle w:val="a4"/>
      </w:pPr>
      <w:r>
        <w:t>(</w:t>
      </w:r>
      <w:proofErr w:type="spellStart"/>
      <w:r>
        <w:t>i-ый</w:t>
      </w:r>
      <w:proofErr w:type="spellEnd"/>
      <w:r>
        <w:t xml:space="preserve"> столбец матрицы системы заменяется столбцом свободных членов).</w:t>
      </w:r>
      <w:r>
        <w:br/>
        <w:t xml:space="preserve">В другой форме правило </w:t>
      </w:r>
      <w:proofErr w:type="spellStart"/>
      <w:r>
        <w:t>Крамера</w:t>
      </w:r>
      <w:proofErr w:type="spellEnd"/>
      <w:r>
        <w:t xml:space="preserve"> формулируется так: для любых коэффициентов c</w:t>
      </w:r>
      <w:r>
        <w:rPr>
          <w:vertAlign w:val="subscript"/>
        </w:rPr>
        <w:t>1</w:t>
      </w:r>
      <w:r>
        <w:t>, c</w:t>
      </w:r>
      <w:r>
        <w:rPr>
          <w:vertAlign w:val="subscript"/>
        </w:rPr>
        <w:t>2</w:t>
      </w:r>
      <w:r>
        <w:t xml:space="preserve">, …, </w:t>
      </w:r>
      <w:proofErr w:type="spellStart"/>
      <w:r>
        <w:t>c</w:t>
      </w:r>
      <w:r>
        <w:rPr>
          <w:vertAlign w:val="subscript"/>
        </w:rPr>
        <w:t>n</w:t>
      </w:r>
      <w:proofErr w:type="spellEnd"/>
      <w:r>
        <w:t xml:space="preserve"> справедливо равенство:</w:t>
      </w:r>
    </w:p>
    <w:p w:rsidR="00796B76" w:rsidRDefault="00796B76" w:rsidP="00796B76">
      <w:pPr>
        <w:ind w:left="720"/>
      </w:pPr>
      <w:r>
        <w:rPr>
          <w:noProof/>
          <w:lang w:eastAsia="ru-RU"/>
        </w:rPr>
        <w:lastRenderedPageBreak/>
        <w:drawing>
          <wp:inline distT="0" distB="0" distL="0" distR="0">
            <wp:extent cx="4714875" cy="1152525"/>
            <wp:effectExtent l="19050" t="0" r="9525" b="0"/>
            <wp:docPr id="74" name="Рисунок 74" descr="(c_1x_1+c_2x_2+\dots+c_nx_n)\cdot\Delta = -\begin{vmatrix}&#10;a_{11} &amp; a_{12} &amp; \ldots &amp; a_{1n} &amp; b_1\\&#10;a_{21} &amp; a_{22} &amp; \ldots &amp; a_{2n} &amp; b_2\\&#10;\ldots &amp; \ldots &amp; \ldots &amp; \ldots &amp; \ldots\\&#10;a_{n1} &amp; a_{n2} &amp; \ldots &amp; a_{nn} &amp; b_n\\&#10;c_{1}  &amp; c_{2}  &amp; \ldots &amp; c_{n}  &amp; 0\\&#10;\end{v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(c_1x_1+c_2x_2+\dots+c_nx_n)\cdot\Delta = -\begin{vmatrix}&#10;a_{11} &amp; a_{12} &amp; \ldots &amp; a_{1n} &amp; b_1\\&#10;a_{21} &amp; a_{22} &amp; \ldots &amp; a_{2n} &amp; b_2\\&#10;\ldots &amp; \ldots &amp; \ldots &amp; \ldots &amp; \ldots\\&#10;a_{n1} &amp; a_{n2} &amp; \ldots &amp; a_{nn} &amp; b_n\\&#10;c_{1}  &amp; c_{2}  &amp; \ldots &amp; c_{n}  &amp; 0\\&#10;\end{vmatrix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B76" w:rsidRDefault="00796B76" w:rsidP="00796B76">
      <w:pPr>
        <w:pStyle w:val="a4"/>
      </w:pPr>
      <w:r>
        <w:t xml:space="preserve">В этой форме формула </w:t>
      </w:r>
      <w:proofErr w:type="spellStart"/>
      <w:r>
        <w:t>Крамера</w:t>
      </w:r>
      <w:proofErr w:type="spellEnd"/>
      <w:r>
        <w:t xml:space="preserve"> справедлива без предположения, что </w:t>
      </w:r>
      <w:r>
        <w:rPr>
          <w:rStyle w:val="texhtml"/>
        </w:rPr>
        <w:t>Δ</w:t>
      </w:r>
      <w:r>
        <w:t xml:space="preserve"> отлично от нуля, не нужно даже, чтобы коэффициенты системы были бы элементами </w:t>
      </w:r>
      <w:hyperlink r:id="rId15" w:tooltip="Целостное кольцо" w:history="1">
        <w:r>
          <w:rPr>
            <w:rStyle w:val="a3"/>
          </w:rPr>
          <w:t>целостного кольца</w:t>
        </w:r>
      </w:hyperlink>
      <w:r>
        <w:t xml:space="preserve"> (определитель системы может быть даже делителем нуля в кольце коэффициентов). Можно также считать, что либо наборы </w:t>
      </w:r>
      <w:r>
        <w:rPr>
          <w:rStyle w:val="texhtml"/>
          <w:i/>
          <w:iCs/>
        </w:rPr>
        <w:t>b</w:t>
      </w:r>
      <w:r>
        <w:rPr>
          <w:rStyle w:val="texhtml"/>
          <w:vertAlign w:val="subscript"/>
        </w:rPr>
        <w:t>1</w:t>
      </w:r>
      <w:r>
        <w:rPr>
          <w:rStyle w:val="texhtml"/>
        </w:rPr>
        <w:t>,</w:t>
      </w:r>
      <w:r>
        <w:rPr>
          <w:rStyle w:val="texhtml"/>
          <w:i/>
          <w:iCs/>
        </w:rPr>
        <w:t>b</w:t>
      </w:r>
      <w:r>
        <w:rPr>
          <w:rStyle w:val="texhtml"/>
          <w:vertAlign w:val="subscript"/>
        </w:rPr>
        <w:t>2</w:t>
      </w:r>
      <w:r>
        <w:rPr>
          <w:rStyle w:val="texhtml"/>
        </w:rPr>
        <w:t>,...,</w:t>
      </w:r>
      <w:proofErr w:type="spellStart"/>
      <w:r>
        <w:rPr>
          <w:rStyle w:val="texhtml"/>
          <w:i/>
          <w:iCs/>
        </w:rPr>
        <w:t>b</w:t>
      </w:r>
      <w:r>
        <w:rPr>
          <w:rStyle w:val="texhtml"/>
          <w:i/>
          <w:iCs/>
          <w:vertAlign w:val="subscript"/>
        </w:rPr>
        <w:t>n</w:t>
      </w:r>
      <w:proofErr w:type="spellEnd"/>
      <w:r>
        <w:t xml:space="preserve"> и </w:t>
      </w:r>
      <w:r>
        <w:rPr>
          <w:rStyle w:val="texhtml"/>
          <w:i/>
          <w:iCs/>
        </w:rPr>
        <w:t>x</w:t>
      </w:r>
      <w:r>
        <w:rPr>
          <w:rStyle w:val="texhtml"/>
          <w:vertAlign w:val="subscript"/>
        </w:rPr>
        <w:t>1</w:t>
      </w:r>
      <w:r>
        <w:rPr>
          <w:rStyle w:val="texhtml"/>
        </w:rPr>
        <w:t>,</w:t>
      </w:r>
      <w:r>
        <w:rPr>
          <w:rStyle w:val="texhtml"/>
          <w:i/>
          <w:iCs/>
        </w:rPr>
        <w:t>x</w:t>
      </w:r>
      <w:r>
        <w:rPr>
          <w:rStyle w:val="texhtml"/>
          <w:vertAlign w:val="subscript"/>
        </w:rPr>
        <w:t>2</w:t>
      </w:r>
      <w:r>
        <w:rPr>
          <w:rStyle w:val="texhtml"/>
        </w:rPr>
        <w:t>,...,</w:t>
      </w:r>
      <w:proofErr w:type="spellStart"/>
      <w:r>
        <w:rPr>
          <w:rStyle w:val="texhtml"/>
          <w:i/>
          <w:iCs/>
        </w:rPr>
        <w:t>x</w:t>
      </w:r>
      <w:r>
        <w:rPr>
          <w:rStyle w:val="texhtml"/>
          <w:i/>
          <w:iCs/>
          <w:vertAlign w:val="subscript"/>
        </w:rPr>
        <w:t>n</w:t>
      </w:r>
      <w:proofErr w:type="spellEnd"/>
      <w:r>
        <w:t xml:space="preserve">, либо набор </w:t>
      </w:r>
      <w:r>
        <w:rPr>
          <w:rStyle w:val="texhtml"/>
          <w:i/>
          <w:iCs/>
        </w:rPr>
        <w:t>c</w:t>
      </w:r>
      <w:r>
        <w:rPr>
          <w:rStyle w:val="texhtml"/>
          <w:vertAlign w:val="subscript"/>
        </w:rPr>
        <w:t>1</w:t>
      </w:r>
      <w:r>
        <w:rPr>
          <w:rStyle w:val="texhtml"/>
        </w:rPr>
        <w:t>,</w:t>
      </w:r>
      <w:r>
        <w:rPr>
          <w:rStyle w:val="texhtml"/>
          <w:i/>
          <w:iCs/>
        </w:rPr>
        <w:t>c</w:t>
      </w:r>
      <w:r>
        <w:rPr>
          <w:rStyle w:val="texhtml"/>
          <w:vertAlign w:val="subscript"/>
        </w:rPr>
        <w:t>2</w:t>
      </w:r>
      <w:r>
        <w:rPr>
          <w:rStyle w:val="texhtml"/>
        </w:rPr>
        <w:t>,...,</w:t>
      </w:r>
      <w:proofErr w:type="spellStart"/>
      <w:r>
        <w:rPr>
          <w:rStyle w:val="texhtml"/>
          <w:i/>
          <w:iCs/>
        </w:rPr>
        <w:t>c</w:t>
      </w:r>
      <w:r>
        <w:rPr>
          <w:rStyle w:val="texhtml"/>
          <w:i/>
          <w:iCs/>
          <w:vertAlign w:val="subscript"/>
        </w:rPr>
        <w:t>n</w:t>
      </w:r>
      <w:proofErr w:type="spellEnd"/>
      <w:r>
        <w:t xml:space="preserve"> состоят не из элементов кольца коэффициентов системы, а какого-нибудь </w:t>
      </w:r>
      <w:hyperlink r:id="rId16" w:tooltip="Модуль над кольцом" w:history="1">
        <w:r>
          <w:rPr>
            <w:rStyle w:val="a3"/>
          </w:rPr>
          <w:t>модуля</w:t>
        </w:r>
      </w:hyperlink>
      <w:r>
        <w:t xml:space="preserve"> над этим кольцом. В этом виде формула </w:t>
      </w:r>
      <w:proofErr w:type="spellStart"/>
      <w:r>
        <w:t>Крамера</w:t>
      </w:r>
      <w:proofErr w:type="spellEnd"/>
      <w:r>
        <w:t xml:space="preserve"> используется, например, при доказательстве формулы для </w:t>
      </w:r>
      <w:hyperlink r:id="rId17" w:tooltip="Определитель Грама" w:history="1">
        <w:r>
          <w:rPr>
            <w:rStyle w:val="a3"/>
          </w:rPr>
          <w:t xml:space="preserve">определителя </w:t>
        </w:r>
        <w:proofErr w:type="spellStart"/>
        <w:r>
          <w:rPr>
            <w:rStyle w:val="a3"/>
          </w:rPr>
          <w:t>Грама</w:t>
        </w:r>
        <w:proofErr w:type="spellEnd"/>
      </w:hyperlink>
      <w:r>
        <w:t xml:space="preserve"> и </w:t>
      </w:r>
      <w:hyperlink r:id="rId18" w:tooltip="Лемма Накаямы" w:history="1">
        <w:r>
          <w:rPr>
            <w:rStyle w:val="a3"/>
          </w:rPr>
          <w:t>Леммы Накаямы</w:t>
        </w:r>
      </w:hyperlink>
      <w:r>
        <w:t>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96B76"/>
    <w:rsid w:val="00594F9B"/>
    <w:rsid w:val="00796B76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B7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B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96B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796B76"/>
    <w:rPr>
      <w:color w:val="0000FF"/>
      <w:u w:val="single"/>
    </w:rPr>
  </w:style>
  <w:style w:type="character" w:customStyle="1" w:styleId="mw-headline">
    <w:name w:val="mw-headline"/>
    <w:basedOn w:val="a0"/>
    <w:rsid w:val="00796B76"/>
  </w:style>
  <w:style w:type="character" w:customStyle="1" w:styleId="texhtml">
    <w:name w:val="texhtml"/>
    <w:basedOn w:val="a0"/>
    <w:rsid w:val="00796B76"/>
  </w:style>
  <w:style w:type="paragraph" w:styleId="a4">
    <w:name w:val="Normal (Web)"/>
    <w:basedOn w:val="a"/>
    <w:uiPriority w:val="99"/>
    <w:unhideWhenUsed/>
    <w:rsid w:val="00796B7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6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6B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2%D0%B0%D0%B4%D1%80%D0%B0%D1%82%D0%BD%D0%B0%D1%8F_%D1%81%D0%B8%D1%81%D1%82%D0%B5%D0%BC%D0%B0_%D1%83%D1%80%D0%B0%D0%B2%D0%BD%D0%B5%D0%BD%D0%B8%D0%B9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ru.wikipedia.org/wiki/%D0%9B%D0%B5%D0%BC%D0%BC%D0%B0_%D0%9D%D0%B0%D0%BA%D0%B0%D1%8F%D0%BC%D1%8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.wikipedia.org/w/index.php?title=%D0%9E%D0%B4%D0%BD%D0%BE%D1%80%D0%BE%D0%B4%D0%BD%D0%B0%D1%8F_%D1%81%D0%B8%D1%81%D1%82%D0%B5%D0%BC%D0%B0_%D1%83%D1%80%D0%B0%D0%B2%D0%BD%D0%B5%D0%BD%D0%B8%D0%B9&amp;action=edit&amp;redlink=1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://ru.wikipedia.org/wiki/%D0%9E%D0%BF%D1%80%D0%B5%D0%B4%D0%B5%D0%BB%D0%B8%D1%82%D0%B5%D0%BB%D1%8C_%D0%93%D1%80%D0%B0%D0%BC%D0%B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u.wikipedia.org/wiki/%D0%9C%D0%BE%D0%B4%D1%83%D0%BB%D1%8C_%D0%BD%D0%B0%D0%B4_%D0%BA%D0%BE%D0%BB%D1%8C%D1%86%D0%BE%D0%B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ru.wikipedia.org/w/index.php?title=%D0%9E%D1%81%D0%BD%D0%BE%D0%B2%D0%BD%D0%B0%D1%8F_%D0%BC%D0%B0%D1%82%D1%80%D0%B8%D1%86%D0%B0&amp;action=edit&amp;redlink=1" TargetMode="External"/><Relationship Id="rId5" Type="http://schemas.openxmlformats.org/officeDocument/2006/relationships/hyperlink" Target="http://ru.wikipedia.org/wiki/%D0%9B%D0%B8%D0%BD%D0%B5%D0%B9%D0%BD%D0%B0%D1%8F_%D0%B0%D0%BB%D0%B3%D0%B5%D0%B1%D1%80%D0%B0" TargetMode="External"/><Relationship Id="rId15" Type="http://schemas.openxmlformats.org/officeDocument/2006/relationships/hyperlink" Target="http://ru.wikipedia.org/wiki/%D0%A6%D0%B5%D0%BB%D0%BE%D1%81%D1%82%D0%BD%D0%BE%D0%B5_%D0%BA%D0%BE%D0%BB%D1%8C%D1%86%D0%BE" TargetMode="External"/><Relationship Id="rId10" Type="http://schemas.openxmlformats.org/officeDocument/2006/relationships/hyperlink" Target="http://ru.wikipedia.org/wiki/%D0%9E%D0%BF%D1%80%D0%B5%D0%B4%D0%B5%D0%BB%D0%B8%D1%82%D0%B5%D0%BB%D1%8C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ru.wikipedia.org/wiki/%D0%9B%D0%B8%D0%BD%D0%B5%D0%B9%D0%BD%D0%BE%D0%B5_%D1%83%D1%80%D0%B0%D0%B2%D0%BD%D0%B5%D0%BD%D0%B8%D0%B5" TargetMode="External"/><Relationship Id="rId9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2010-01-17T15:43:00Z</dcterms:created>
  <dcterms:modified xsi:type="dcterms:W3CDTF">2010-01-17T15:43:00Z</dcterms:modified>
</cp:coreProperties>
</file>